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международные стандарты в области защиты прав человека и гражданина, прав ребёнка, инвалидов и лиц с ограниченными возможностями здоровья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знать систему и источники законодательства о семье и правах ребёнка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уметь анализировать и практически использовать нормативно-правовые акты в области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уметь оценивать качество образовательных услуг на основе действующих нормативно-правовых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ОПК-1.8 владеть навыками работы с законодательными и иными нормативно-правовыми актами в области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ОПК-1.10 владеть способами решения проблем правового обеспечения профессиональной деятельности в современных условиях</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механизмы и движущие силы процесса развития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знать современные технологии индивидуализации в образовании, формы образования детей с трудностями в обучении в общеобразовательных учреждениях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ОПК-3.13 уметь разрабатывать и реализовывать индивидуально-ориентированные образовательные программы с учетом личностных и возрастных особенностей обучающихся</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ОПК-3.14 уметь 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ОПК-3.15 уметь ставить различные виды учебных задач и организовывать их решение в соответствии с уровнем индивидуального познавательного и личностного развития детей</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ОПК-3.17 уметь формировать детско-взрослые сообщества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ОПК-3.20 владеть психолого-педагогическими технологиями (в том числе инклюзивным) необходимыми для адресной работы с различными контингентами</w:t>
            </w:r>
          </w:p>
        </w:tc>
      </w:tr>
      <w:tr>
        <w:trPr>
          <w:trHeight w:hRule="exact" w:val="277.8299"/>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методологию педагогических исследований проблем образования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важнейшие особенности физиологического и психического развития детей с ОВЗ в целях осуществления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совершенствовать свои профессиональные знания и умения на основе постоянного самообразования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организовывать образовательный процесс на основе знаний об особенностях развития детей с ОВЗ</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уметь изучать личность ребенка в ходе педагогической деятельности средствами современных методик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способами совершенствования профессиональных знаний и умений путем использования информационной среды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владеть приемами профилактической деятельности, направленной на предотвращение саморазрушающегося поведения ребенка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ОПК-8.8 владеть способами проектирования и постоянного совершенствования образовательной среды</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значение каждого возрастного этапа для развития психических и личностных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осуществлять (совместно с психологом и др. специалистами) психолого- педагогическое сопровождение образовательного процесса и организацию субъект- субъектного взаимодействия участников образовательного процесса с учетом их индивидуальных особенностей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формировать детско-взрослые сообщества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выявлять и формировать культурные потребности различных социальных групп</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методические подходы и принципы проектирования внеурочной деятельности, в том числе в области культурно-просветительской работы</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осуществлять различные виды культурно-просветительской деятельности в процессе</w:t>
            </w:r>
          </w:p>
          <w:p>
            <w:pPr>
              <w:jc w:val="left"/>
              <w:spacing w:after="0" w:line="240" w:lineRule="auto"/>
              <w:rPr>
                <w:sz w:val="24"/>
                <w:szCs w:val="24"/>
              </w:rPr>
            </w:pPr>
            <w:r>
              <w:rPr>
                <w:rFonts w:ascii="Times New Roman" w:hAnsi="Times New Roman" w:cs="Times New Roman"/>
                <w:color w:val="#000000"/>
                <w:sz w:val="24"/>
                <w:szCs w:val="24"/>
              </w:rPr>
              <w:t> работы с обучающимися им их родителями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владеть конкретными методиками и технологиями, в том числе информационными, в соответствии с разработанной культурно-просветительской программой</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ПК-9</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индивидуальные образовательные маршруты обучающихся по преподаваемым учебным предметам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ПК-9.1 знать психологию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ПК-9.2 знать  психологию индивидуальных различий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ПК-9.3 знать психологию развития (механизмы, факторы)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ПК-9.4 знать методы влияния и управления командой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ПК-9.5 уметь диагностировать особенности развития детей (совместно с психологом)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ПК-9.6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ПК-9.7 владеть методами 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ПК-9.8 владеть методами влияния и управления командой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методы влияния и управления командой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УК-3.16 владеть методами влияния и управления командой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психологию личности, механизмы и факторы ее развития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методы самодиагностики развития личности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психологию деятельности и поведения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техники эффективного планирования</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техники и приемы психической саморегуляции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действовать критично, выполнять анализ проделанной работы для достижения поставленной цели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планировать свою деятельность (составлять общий план предстоящей деятельности, последовательность действий, организовывать рабочее место  и временную организацию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прогнозировать результат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владеть методами самодиагностики развития личности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методами и приемами проектной деятельности и управления временем</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методами организации учебно-профессиональной и досуговой деятельности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«Педагогика»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237.1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"Методы обучения в предметной области "Филология. Русский язык"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УК-6, ОПК-1, ОПК-3, ОПК-8, ПК-4, ПК-9, ПК-6</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213</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курсовые работы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педагогическую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w:t>
            </w:r>
          </w:p>
          <w:p>
            <w:pPr>
              <w:jc w:val="left"/>
              <w:spacing w:after="0" w:line="240" w:lineRule="auto"/>
              <w:rPr>
                <w:sz w:val="24"/>
                <w:szCs w:val="24"/>
              </w:rPr>
            </w:pPr>
            <w:r>
              <w:rPr>
                <w:rFonts w:ascii="Times New Roman" w:hAnsi="Times New Roman" w:cs="Times New Roman"/>
                <w:color w:val="#000000"/>
                <w:sz w:val="24"/>
                <w:szCs w:val="24"/>
              </w:rPr>
              <w:t> педагогическую</w:t>
            </w:r>
          </w:p>
          <w:p>
            <w:pPr>
              <w:jc w:val="left"/>
              <w:spacing w:after="0" w:line="240" w:lineRule="auto"/>
              <w:rPr>
                <w:sz w:val="24"/>
                <w:szCs w:val="24"/>
              </w:rPr>
            </w:pPr>
            <w:r>
              <w:rPr>
                <w:rFonts w:ascii="Times New Roman" w:hAnsi="Times New Roman" w:cs="Times New Roman"/>
                <w:color w:val="#000000"/>
                <w:sz w:val="24"/>
                <w:szCs w:val="24"/>
              </w:rPr>
              <w:t>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w:t>
            </w:r>
          </w:p>
          <w:p>
            <w:pPr>
              <w:jc w:val="left"/>
              <w:spacing w:after="0" w:line="240" w:lineRule="auto"/>
              <w:rPr>
                <w:sz w:val="24"/>
                <w:szCs w:val="24"/>
              </w:rPr>
            </w:pPr>
            <w:r>
              <w:rPr>
                <w:rFonts w:ascii="Times New Roman" w:hAnsi="Times New Roman" w:cs="Times New Roman"/>
                <w:b/>
                <w:color w:val="#000000"/>
                <w:sz w:val="24"/>
                <w:szCs w:val="24"/>
              </w:rPr>
              <w:t> педагогики и</w:t>
            </w:r>
          </w:p>
          <w:p>
            <w:pPr>
              <w:jc w:val="left"/>
              <w:spacing w:after="0" w:line="240" w:lineRule="auto"/>
              <w:rPr>
                <w:sz w:val="24"/>
                <w:szCs w:val="24"/>
              </w:rPr>
            </w:pPr>
            <w:r>
              <w:rPr>
                <w:rFonts w:ascii="Times New Roman" w:hAnsi="Times New Roman" w:cs="Times New Roman"/>
                <w:b/>
                <w:color w:val="#000000"/>
                <w:sz w:val="24"/>
                <w:szCs w:val="24"/>
              </w:rPr>
              <w:t> Теория и методика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воспитания и его место в целостной</w:t>
            </w:r>
          </w:p>
          <w:p>
            <w:pPr>
              <w:jc w:val="left"/>
              <w:spacing w:after="0" w:line="240" w:lineRule="auto"/>
              <w:rPr>
                <w:sz w:val="24"/>
                <w:szCs w:val="24"/>
              </w:rPr>
            </w:pPr>
            <w:r>
              <w:rPr>
                <w:rFonts w:ascii="Times New Roman" w:hAnsi="Times New Roman" w:cs="Times New Roman"/>
                <w:color w:val="#000000"/>
                <w:sz w:val="24"/>
                <w:szCs w:val="24"/>
              </w:rPr>
              <w:t> структуре образовательного процесса.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взаимодействие в воспитании.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Коллектив как субъект и объект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Коллектив как субъект и объект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форм и методов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форм и методов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и принципы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 как фундамент базовой культуры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и принципы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 как фундамент базовой культуры личности. Методы, приёмы, средства, формы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технологии управления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как педагогическая система и объект</w:t>
            </w:r>
          </w:p>
          <w:p>
            <w:pPr>
              <w:jc w:val="left"/>
              <w:spacing w:after="0" w:line="240" w:lineRule="auto"/>
              <w:rPr>
                <w:sz w:val="24"/>
                <w:szCs w:val="24"/>
              </w:rPr>
            </w:pPr>
            <w:r>
              <w:rPr>
                <w:rFonts w:ascii="Times New Roman" w:hAnsi="Times New Roman" w:cs="Times New Roman"/>
                <w:color w:val="#000000"/>
                <w:sz w:val="24"/>
                <w:szCs w:val="24"/>
              </w:rPr>
              <w:t>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как педагогическая система и объект</w:t>
            </w:r>
          </w:p>
          <w:p>
            <w:pPr>
              <w:jc w:val="left"/>
              <w:spacing w:after="0" w:line="240" w:lineRule="auto"/>
              <w:rPr>
                <w:sz w:val="24"/>
                <w:szCs w:val="24"/>
              </w:rPr>
            </w:pPr>
            <w:r>
              <w:rPr>
                <w:rFonts w:ascii="Times New Roman" w:hAnsi="Times New Roman" w:cs="Times New Roman"/>
                <w:color w:val="#000000"/>
                <w:sz w:val="24"/>
                <w:szCs w:val="24"/>
              </w:rPr>
              <w:t>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содержанием и качеством</w:t>
            </w:r>
          </w:p>
          <w:p>
            <w:pPr>
              <w:jc w:val="left"/>
              <w:spacing w:after="0" w:line="240" w:lineRule="auto"/>
              <w:rPr>
                <w:sz w:val="24"/>
                <w:szCs w:val="24"/>
              </w:rPr>
            </w:pPr>
            <w:r>
              <w:rPr>
                <w:rFonts w:ascii="Times New Roman" w:hAnsi="Times New Roman" w:cs="Times New Roman"/>
                <w:color w:val="#000000"/>
                <w:sz w:val="24"/>
                <w:szCs w:val="24"/>
              </w:rPr>
              <w:t>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Повышение квалификации и аттестация</w:t>
            </w:r>
          </w:p>
          <w:p>
            <w:pPr>
              <w:jc w:val="left"/>
              <w:spacing w:after="0" w:line="240" w:lineRule="auto"/>
              <w:rPr>
                <w:sz w:val="24"/>
                <w:szCs w:val="24"/>
              </w:rPr>
            </w:pPr>
            <w:r>
              <w:rPr>
                <w:rFonts w:ascii="Times New Roman" w:hAnsi="Times New Roman" w:cs="Times New Roman"/>
                <w:color w:val="#000000"/>
                <w:sz w:val="24"/>
                <w:szCs w:val="24"/>
              </w:rPr>
              <w:t> работников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Управленческая культура руководителя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13919.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w:t>
            </w:r>
          </w:p>
          <w:p>
            <w:pPr>
              <w:jc w:val="center"/>
              <w:spacing w:after="0" w:line="240" w:lineRule="auto"/>
              <w:rPr>
                <w:sz w:val="24"/>
                <w:szCs w:val="24"/>
              </w:rPr>
            </w:pPr>
            <w:r>
              <w:rPr>
                <w:rFonts w:ascii="Times New Roman" w:hAnsi="Times New Roman" w:cs="Times New Roman"/>
                <w:b/>
                <w:color w:val="#000000"/>
                <w:sz w:val="24"/>
                <w:szCs w:val="24"/>
              </w:rPr>
              <w:t> педагогическую</w:t>
            </w:r>
          </w:p>
          <w:p>
            <w:pPr>
              <w:jc w:val="center"/>
              <w:spacing w:after="0" w:line="240" w:lineRule="auto"/>
              <w:rPr>
                <w:sz w:val="24"/>
                <w:szCs w:val="24"/>
              </w:rPr>
            </w:pPr>
            <w:r>
              <w:rPr>
                <w:rFonts w:ascii="Times New Roman" w:hAnsi="Times New Roman" w:cs="Times New Roman"/>
                <w:b/>
                <w:color w:val="#000000"/>
                <w:sz w:val="24"/>
                <w:szCs w:val="24"/>
              </w:rPr>
              <w:t> деятельность</w:t>
            </w:r>
          </w:p>
        </w:tc>
      </w:tr>
      <w:tr>
        <w:trPr>
          <w:trHeight w:hRule="exact" w:val="828.7865"/>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w:t>
            </w:r>
          </w:p>
          <w:p>
            <w:pPr>
              <w:jc w:val="center"/>
              <w:spacing w:after="0" w:line="240" w:lineRule="auto"/>
              <w:rPr>
                <w:sz w:val="24"/>
                <w:szCs w:val="24"/>
              </w:rPr>
            </w:pPr>
            <w:r>
              <w:rPr>
                <w:rFonts w:ascii="Times New Roman" w:hAnsi="Times New Roman" w:cs="Times New Roman"/>
                <w:b/>
                <w:color w:val="#000000"/>
                <w:sz w:val="24"/>
                <w:szCs w:val="24"/>
              </w:rPr>
              <w:t> и образовательной</w:t>
            </w:r>
          </w:p>
          <w:p>
            <w:pPr>
              <w:jc w:val="center"/>
              <w:spacing w:after="0" w:line="240" w:lineRule="auto"/>
              <w:rPr>
                <w:sz w:val="24"/>
                <w:szCs w:val="24"/>
              </w:rPr>
            </w:pPr>
            <w:r>
              <w:rPr>
                <w:rFonts w:ascii="Times New Roman" w:hAnsi="Times New Roman" w:cs="Times New Roman"/>
                <w:b/>
                <w:color w:val="#000000"/>
                <w:sz w:val="24"/>
                <w:szCs w:val="24"/>
              </w:rPr>
              <w:t> мысли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педагогической науки и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Закономерности и принципы обучения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 как фундамент базовой культуры личности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образования России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профессия: общая характеристика и перспективы ее развития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w:t>
            </w:r>
          </w:p>
          <w:p>
            <w:pPr>
              <w:jc w:val="center"/>
              <w:spacing w:after="0" w:line="240" w:lineRule="auto"/>
              <w:rPr>
                <w:sz w:val="24"/>
                <w:szCs w:val="24"/>
              </w:rPr>
            </w:pPr>
            <w:r>
              <w:rPr>
                <w:rFonts w:ascii="Times New Roman" w:hAnsi="Times New Roman" w:cs="Times New Roman"/>
                <w:b/>
                <w:color w:val="#000000"/>
                <w:sz w:val="24"/>
                <w:szCs w:val="24"/>
              </w:rPr>
              <w:t> и образовательной</w:t>
            </w:r>
          </w:p>
          <w:p>
            <w:pPr>
              <w:jc w:val="center"/>
              <w:spacing w:after="0" w:line="240" w:lineRule="auto"/>
              <w:rPr>
                <w:sz w:val="24"/>
                <w:szCs w:val="24"/>
              </w:rPr>
            </w:pPr>
            <w:r>
              <w:rPr>
                <w:rFonts w:ascii="Times New Roman" w:hAnsi="Times New Roman" w:cs="Times New Roman"/>
                <w:b/>
                <w:color w:val="#000000"/>
                <w:sz w:val="24"/>
                <w:szCs w:val="24"/>
              </w:rPr>
              <w:t> мысли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характеристики целостного педагогического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технология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образовательные стандарты и</w:t>
            </w:r>
          </w:p>
          <w:p>
            <w:pPr>
              <w:jc w:val="center"/>
              <w:spacing w:after="0" w:line="240" w:lineRule="auto"/>
              <w:rPr>
                <w:sz w:val="24"/>
                <w:szCs w:val="24"/>
              </w:rPr>
            </w:pPr>
            <w:r>
              <w:rPr>
                <w:rFonts w:ascii="Times New Roman" w:hAnsi="Times New Roman" w:cs="Times New Roman"/>
                <w:b/>
                <w:color w:val="#000000"/>
                <w:sz w:val="24"/>
                <w:szCs w:val="24"/>
              </w:rPr>
              <w:t> образовательные программы в механизме</w:t>
            </w:r>
          </w:p>
          <w:p>
            <w:pPr>
              <w:jc w:val="center"/>
              <w:spacing w:after="0" w:line="240" w:lineRule="auto"/>
              <w:rPr>
                <w:sz w:val="24"/>
                <w:szCs w:val="24"/>
              </w:rPr>
            </w:pPr>
            <w:r>
              <w:rPr>
                <w:rFonts w:ascii="Times New Roman" w:hAnsi="Times New Roman" w:cs="Times New Roman"/>
                <w:b/>
                <w:color w:val="#000000"/>
                <w:sz w:val="24"/>
                <w:szCs w:val="24"/>
              </w:rPr>
              <w:t> управления образовательной организацией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 Корпачева Людмила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отечественной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Латышина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978-5-534-00569-1.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https://www.biblio-online.ru/bcode/413784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https://urait.ru/bcode/415942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Коджаспирова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978-5-7042-2523-2.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http://www.iprbookshop.ru/30415.html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951.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2023-2024_ФГОС3++2023_Бак-ЗФО-ПО2(ДОиНО)(23)_plx_Педагогика</dc:title>
  <dc:creator>FastReport.NET</dc:creator>
</cp:coreProperties>
</file>